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33" w:rsidRDefault="005A0B33" w:rsidP="002E5AD2">
      <w:pPr>
        <w:jc w:val="center"/>
        <w:rPr>
          <w:rFonts w:ascii="Tahoma" w:hAnsi="Tahoma" w:cs="Tahoma"/>
          <w:b/>
          <w:sz w:val="24"/>
          <w:szCs w:val="24"/>
        </w:rPr>
      </w:pPr>
    </w:p>
    <w:p w:rsidR="002E5AD2" w:rsidRDefault="002E5AD2" w:rsidP="002E5AD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2022 Lower Nazareth Report</w:t>
      </w:r>
    </w:p>
    <w:p w:rsidR="002E5AD2" w:rsidRDefault="002E5AD2" w:rsidP="002E5AD2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/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ALS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BLS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MVA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Fire/Other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Monthly Total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January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34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22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75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February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33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29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77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March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32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28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83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April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23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12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60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May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30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31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80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June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33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81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July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27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30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77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August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42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22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89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September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26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34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85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October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20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69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November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18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24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71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December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35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24</w:t>
            </w:r>
          </w:p>
        </w:tc>
        <w:tc>
          <w:tcPr>
            <w:tcW w:w="1558" w:type="dxa"/>
          </w:tcPr>
          <w:p w:rsidR="002E5AD2" w:rsidRDefault="002E5AD2" w:rsidP="00B5616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2E5AD2" w:rsidRDefault="002E5AD2" w:rsidP="00B5616E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2E5AD2" w:rsidRPr="002E5AD2" w:rsidRDefault="002E5AD2" w:rsidP="00B5616E">
            <w:pPr>
              <w:jc w:val="center"/>
              <w:rPr>
                <w:b/>
              </w:rPr>
            </w:pPr>
            <w:r w:rsidRPr="002E5AD2">
              <w:rPr>
                <w:b/>
              </w:rPr>
              <w:t>85</w:t>
            </w:r>
          </w:p>
        </w:tc>
      </w:tr>
      <w:tr w:rsidR="002E5AD2" w:rsidTr="002E5AD2">
        <w:trPr>
          <w:jc w:val="center"/>
        </w:trPr>
        <w:tc>
          <w:tcPr>
            <w:tcW w:w="1558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Yearly Totals</w:t>
            </w:r>
          </w:p>
        </w:tc>
        <w:tc>
          <w:tcPr>
            <w:tcW w:w="1558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353</w:t>
            </w:r>
          </w:p>
        </w:tc>
        <w:tc>
          <w:tcPr>
            <w:tcW w:w="1558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296</w:t>
            </w:r>
          </w:p>
        </w:tc>
        <w:tc>
          <w:tcPr>
            <w:tcW w:w="1558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93</w:t>
            </w:r>
          </w:p>
        </w:tc>
        <w:tc>
          <w:tcPr>
            <w:tcW w:w="1559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190</w:t>
            </w:r>
          </w:p>
        </w:tc>
        <w:tc>
          <w:tcPr>
            <w:tcW w:w="1559" w:type="dxa"/>
          </w:tcPr>
          <w:p w:rsidR="002E5AD2" w:rsidRPr="006F6928" w:rsidRDefault="002E5AD2" w:rsidP="00B5616E">
            <w:pPr>
              <w:jc w:val="center"/>
              <w:rPr>
                <w:b/>
              </w:rPr>
            </w:pPr>
            <w:r w:rsidRPr="006F6928">
              <w:rPr>
                <w:b/>
              </w:rPr>
              <w:t>932</w:t>
            </w:r>
          </w:p>
        </w:tc>
      </w:tr>
    </w:tbl>
    <w:p w:rsidR="002E5AD2" w:rsidRDefault="002E5AD2" w:rsidP="002E5AD2">
      <w:pPr>
        <w:jc w:val="center"/>
      </w:pPr>
    </w:p>
    <w:p w:rsidR="002E5AD2" w:rsidRPr="00C05289" w:rsidRDefault="002E5AD2" w:rsidP="002E5AD2">
      <w:pPr>
        <w:rPr>
          <w:b/>
        </w:rPr>
      </w:pPr>
      <w:r w:rsidRPr="00C05289">
        <w:rPr>
          <w:b/>
        </w:rPr>
        <w:t xml:space="preserve">Total LVH </w:t>
      </w:r>
      <w:proofErr w:type="spellStart"/>
      <w:r w:rsidRPr="00C05289">
        <w:rPr>
          <w:b/>
        </w:rPr>
        <w:t>Hecktown</w:t>
      </w:r>
      <w:proofErr w:type="spellEnd"/>
      <w:r w:rsidRPr="00C05289">
        <w:rPr>
          <w:b/>
        </w:rPr>
        <w:t xml:space="preserve"> Oaks Transports: 1,115</w:t>
      </w:r>
    </w:p>
    <w:p w:rsidR="002E5AD2" w:rsidRPr="002E5AD2" w:rsidRDefault="002E5AD2" w:rsidP="002E5AD2">
      <w:pPr>
        <w:jc w:val="center"/>
        <w:rPr>
          <w:rFonts w:ascii="Tahoma" w:hAnsi="Tahoma" w:cs="Tahoma"/>
          <w:b/>
          <w:sz w:val="24"/>
          <w:szCs w:val="24"/>
        </w:rPr>
      </w:pPr>
    </w:p>
    <w:p w:rsidR="002E5AD2" w:rsidRDefault="002E5AD2" w:rsidP="002E5AD2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</w:p>
    <w:p w:rsidR="002E5AD2" w:rsidRPr="005A0B33" w:rsidRDefault="002E5AD2" w:rsidP="002E5AD2">
      <w:pPr>
        <w:pStyle w:val="ListParagraph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5AD2" w:rsidRPr="005A0B33" w:rsidSect="00F814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A8" w:rsidRDefault="000B31A8" w:rsidP="004745F6">
      <w:pPr>
        <w:spacing w:after="0" w:line="240" w:lineRule="auto"/>
      </w:pPr>
      <w:r>
        <w:separator/>
      </w:r>
    </w:p>
  </w:endnote>
  <w:endnote w:type="continuationSeparator" w:id="0">
    <w:p w:rsidR="000B31A8" w:rsidRDefault="000B31A8" w:rsidP="0047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4C" w:rsidRPr="0003554C" w:rsidRDefault="0003554C" w:rsidP="0003554C">
    <w:pPr>
      <w:pStyle w:val="Footer"/>
      <w:ind w:left="720"/>
      <w:jc w:val="center"/>
      <w:rPr>
        <w:rFonts w:ascii="Times New Roman" w:hAnsi="Times New Roman" w:cs="Times New Roman"/>
        <w:b/>
        <w:i/>
        <w:color w:val="365F91" w:themeColor="accent1" w:themeShade="BF"/>
        <w:sz w:val="24"/>
        <w:szCs w:val="24"/>
      </w:rPr>
    </w:pPr>
    <w:r>
      <w:rPr>
        <w:rFonts w:ascii="Times New Roman" w:hAnsi="Times New Roman" w:cs="Times New Roman"/>
        <w:b/>
        <w:i/>
        <w:color w:val="365F91" w:themeColor="accent1" w:themeShade="BF"/>
        <w:sz w:val="24"/>
        <w:szCs w:val="24"/>
      </w:rPr>
      <w:t>Emergency Medical Services</w:t>
    </w:r>
    <w:r w:rsidRPr="0003554C">
      <w:rPr>
        <w:rFonts w:ascii="Times New Roman" w:hAnsi="Times New Roman" w:cs="Times New Roman"/>
        <w:b/>
        <w:i/>
        <w:color w:val="365F91" w:themeColor="accent1" w:themeShade="BF"/>
        <w:sz w:val="24"/>
        <w:szCs w:val="24"/>
      </w:rPr>
      <w:t xml:space="preserve"> </w:t>
    </w:r>
    <w:r w:rsidRPr="0003554C">
      <w:rPr>
        <w:rFonts w:ascii="Arial" w:hAnsi="Arial" w:cs="Arial"/>
        <w:color w:val="365F91" w:themeColor="accent1" w:themeShade="BF"/>
        <w:shd w:val="clear" w:color="auto" w:fill="FFFFFF"/>
      </w:rPr>
      <w:t>•</w:t>
    </w:r>
    <w:r>
      <w:rPr>
        <w:rFonts w:ascii="Arial" w:hAnsi="Arial" w:cs="Arial"/>
        <w:color w:val="365F91" w:themeColor="accent1" w:themeShade="BF"/>
        <w:shd w:val="clear" w:color="auto" w:fill="FFFFFF"/>
      </w:rPr>
      <w:t xml:space="preserve"> </w:t>
    </w:r>
    <w:r w:rsidRPr="0003554C">
      <w:rPr>
        <w:rFonts w:ascii="Times New Roman" w:hAnsi="Times New Roman" w:cs="Times New Roman"/>
        <w:b/>
        <w:i/>
        <w:color w:val="365F91" w:themeColor="accent1" w:themeShade="BF"/>
        <w:sz w:val="24"/>
        <w:szCs w:val="24"/>
        <w:shd w:val="clear" w:color="auto" w:fill="FFFFFF"/>
      </w:rPr>
      <w:t>Fire Prevention &amp; Suppression</w:t>
    </w:r>
    <w:r w:rsidRPr="0003554C">
      <w:rPr>
        <w:rFonts w:ascii="Times New Roman" w:hAnsi="Times New Roman" w:cs="Times New Roman"/>
        <w:b/>
        <w:i/>
        <w:color w:val="365F91" w:themeColor="accent1" w:themeShade="BF"/>
        <w:sz w:val="24"/>
        <w:szCs w:val="24"/>
      </w:rPr>
      <w:t xml:space="preserve"> </w:t>
    </w:r>
    <w:r w:rsidRPr="0003554C">
      <w:rPr>
        <w:rFonts w:ascii="Arial" w:hAnsi="Arial" w:cs="Arial"/>
        <w:color w:val="365F91" w:themeColor="accent1" w:themeShade="BF"/>
        <w:shd w:val="clear" w:color="auto" w:fill="FFFFFF"/>
      </w:rPr>
      <w:t>•</w:t>
    </w:r>
    <w:r>
      <w:rPr>
        <w:rFonts w:ascii="Arial" w:hAnsi="Arial" w:cs="Arial"/>
        <w:color w:val="365F91" w:themeColor="accent1" w:themeShade="BF"/>
        <w:shd w:val="clear" w:color="auto" w:fill="FFFFFF"/>
      </w:rPr>
      <w:t xml:space="preserve"> </w:t>
    </w:r>
    <w:r w:rsidRPr="0003554C">
      <w:rPr>
        <w:rFonts w:ascii="Times New Roman" w:hAnsi="Times New Roman" w:cs="Times New Roman"/>
        <w:b/>
        <w:i/>
        <w:color w:val="365F91" w:themeColor="accent1" w:themeShade="BF"/>
        <w:sz w:val="24"/>
        <w:szCs w:val="24"/>
        <w:shd w:val="clear" w:color="auto" w:fill="FFFFFF"/>
      </w:rPr>
      <w:t>Rescue Services</w:t>
    </w:r>
  </w:p>
  <w:p w:rsidR="0003554C" w:rsidRDefault="00035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A8" w:rsidRDefault="000B31A8" w:rsidP="004745F6">
      <w:pPr>
        <w:spacing w:after="0" w:line="240" w:lineRule="auto"/>
      </w:pPr>
      <w:r>
        <w:separator/>
      </w:r>
    </w:p>
  </w:footnote>
  <w:footnote w:type="continuationSeparator" w:id="0">
    <w:p w:rsidR="000B31A8" w:rsidRDefault="000B31A8" w:rsidP="0047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F6" w:rsidRPr="00794423" w:rsidRDefault="00121B71" w:rsidP="00794423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238125</wp:posOffset>
          </wp:positionV>
          <wp:extent cx="1215390" cy="1066800"/>
          <wp:effectExtent l="19050" t="0" r="3810" b="0"/>
          <wp:wrapSquare wrapText="bothSides"/>
          <wp:docPr id="4" name="Picture 3" descr="logo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ter 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39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4924425</wp:posOffset>
          </wp:positionH>
          <wp:positionV relativeFrom="margin">
            <wp:posOffset>-1107440</wp:posOffset>
          </wp:positionV>
          <wp:extent cx="1176655" cy="1057275"/>
          <wp:effectExtent l="19050" t="0" r="4445" b="0"/>
          <wp:wrapSquare wrapText="bothSides"/>
          <wp:docPr id="12" name="Picture 4" descr="Bethlehem Township Letter 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lehem Township Letter head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665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45F6" w:rsidRPr="00794423">
      <w:rPr>
        <w:rFonts w:ascii="Times New Roman" w:hAnsi="Times New Roman" w:cs="Times New Roman"/>
        <w:b/>
        <w:color w:val="365F91" w:themeColor="accent1" w:themeShade="BF"/>
        <w:sz w:val="32"/>
        <w:szCs w:val="32"/>
      </w:rPr>
      <w:t>Bethlehem Township Volunteer Fire Company</w:t>
    </w:r>
    <w:r w:rsidR="004745F6">
      <w:rPr>
        <w:rFonts w:ascii="Times New Roman" w:hAnsi="Times New Roman" w:cs="Times New Roman"/>
        <w:sz w:val="36"/>
        <w:szCs w:val="36"/>
      </w:rPr>
      <w:br/>
    </w:r>
    <w:r w:rsidR="004745F6" w:rsidRPr="00794423">
      <w:rPr>
        <w:rFonts w:ascii="Times New Roman" w:hAnsi="Times New Roman" w:cs="Times New Roman"/>
        <w:b/>
        <w:sz w:val="24"/>
        <w:szCs w:val="24"/>
      </w:rPr>
      <w:t>1919 8</w:t>
    </w:r>
    <w:r w:rsidR="004745F6" w:rsidRPr="00794423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4745F6" w:rsidRPr="00794423">
      <w:rPr>
        <w:rFonts w:ascii="Times New Roman" w:hAnsi="Times New Roman" w:cs="Times New Roman"/>
        <w:b/>
        <w:sz w:val="24"/>
        <w:szCs w:val="24"/>
      </w:rPr>
      <w:t xml:space="preserve"> Street, Bethlehem, PA 18020-5803</w:t>
    </w:r>
    <w:r w:rsidR="004745F6" w:rsidRPr="00794423">
      <w:rPr>
        <w:rFonts w:ascii="Times New Roman" w:hAnsi="Times New Roman" w:cs="Times New Roman"/>
        <w:b/>
        <w:sz w:val="24"/>
        <w:szCs w:val="24"/>
      </w:rPr>
      <w:br/>
    </w:r>
    <w:r w:rsidR="004745F6" w:rsidRPr="00794423">
      <w:rPr>
        <w:rFonts w:ascii="Times New Roman" w:hAnsi="Times New Roman" w:cs="Times New Roman"/>
        <w:b/>
        <w:sz w:val="20"/>
        <w:szCs w:val="20"/>
      </w:rPr>
      <w:t>Mailing Address:</w:t>
    </w:r>
  </w:p>
  <w:p w:rsidR="004745F6" w:rsidRPr="00794423" w:rsidRDefault="004745F6" w:rsidP="007944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94423">
      <w:rPr>
        <w:rFonts w:ascii="Times New Roman" w:hAnsi="Times New Roman" w:cs="Times New Roman"/>
        <w:b/>
        <w:sz w:val="24"/>
        <w:szCs w:val="24"/>
      </w:rPr>
      <w:t>P.O. Box 3337, Bethlehem, PA 18020-0337</w:t>
    </w:r>
  </w:p>
  <w:p w:rsidR="004745F6" w:rsidRPr="00794423" w:rsidRDefault="004745F6" w:rsidP="0079442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94423">
      <w:rPr>
        <w:rFonts w:ascii="Times New Roman" w:hAnsi="Times New Roman" w:cs="Times New Roman"/>
        <w:b/>
        <w:sz w:val="24"/>
        <w:szCs w:val="24"/>
      </w:rPr>
      <w:t xml:space="preserve">Phone: 610-694-0062 </w:t>
    </w:r>
    <w:r w:rsidRPr="00794423">
      <w:rPr>
        <w:b/>
        <w:sz w:val="36"/>
        <w:szCs w:val="36"/>
      </w:rPr>
      <w:t>▫</w:t>
    </w:r>
    <w:r w:rsidRPr="00794423">
      <w:rPr>
        <w:b/>
        <w:sz w:val="24"/>
        <w:szCs w:val="24"/>
      </w:rPr>
      <w:t xml:space="preserve"> </w:t>
    </w:r>
    <w:r w:rsidRPr="00794423">
      <w:rPr>
        <w:rFonts w:ascii="Times New Roman" w:hAnsi="Times New Roman" w:cs="Times New Roman"/>
        <w:b/>
        <w:sz w:val="24"/>
        <w:szCs w:val="24"/>
      </w:rPr>
      <w:t>Fax: 610-691-0711</w:t>
    </w:r>
    <w:r w:rsidRPr="00794423">
      <w:rPr>
        <w:rFonts w:ascii="Times New Roman" w:hAnsi="Times New Roman" w:cs="Times New Roman"/>
        <w:b/>
        <w:sz w:val="24"/>
        <w:szCs w:val="24"/>
      </w:rPr>
      <w:br/>
      <w:t>www.BTVFC.org</w:t>
    </w:r>
  </w:p>
  <w:p w:rsidR="004745F6" w:rsidRDefault="0047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E6"/>
    <w:multiLevelType w:val="hybridMultilevel"/>
    <w:tmpl w:val="F628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7BB"/>
    <w:multiLevelType w:val="hybridMultilevel"/>
    <w:tmpl w:val="5138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6"/>
    <w:rsid w:val="0003554C"/>
    <w:rsid w:val="00064926"/>
    <w:rsid w:val="00071CFB"/>
    <w:rsid w:val="00090AE4"/>
    <w:rsid w:val="000B31A8"/>
    <w:rsid w:val="00121B71"/>
    <w:rsid w:val="002647DD"/>
    <w:rsid w:val="002E5AD2"/>
    <w:rsid w:val="00374B98"/>
    <w:rsid w:val="003E2733"/>
    <w:rsid w:val="004745F6"/>
    <w:rsid w:val="004A4B66"/>
    <w:rsid w:val="004F511B"/>
    <w:rsid w:val="005A0B33"/>
    <w:rsid w:val="00794423"/>
    <w:rsid w:val="007F6A6B"/>
    <w:rsid w:val="008813D8"/>
    <w:rsid w:val="008B1169"/>
    <w:rsid w:val="009765CE"/>
    <w:rsid w:val="00A21BFF"/>
    <w:rsid w:val="00A5046F"/>
    <w:rsid w:val="00C5043A"/>
    <w:rsid w:val="00CB32EA"/>
    <w:rsid w:val="00E1540D"/>
    <w:rsid w:val="00EE2087"/>
    <w:rsid w:val="00F73C17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B7B718-A4D8-4959-8B14-6B1FDBF1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F6"/>
  </w:style>
  <w:style w:type="paragraph" w:styleId="Footer">
    <w:name w:val="footer"/>
    <w:basedOn w:val="Normal"/>
    <w:link w:val="FooterChar"/>
    <w:uiPriority w:val="99"/>
    <w:unhideWhenUsed/>
    <w:rsid w:val="0047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F6"/>
  </w:style>
  <w:style w:type="paragraph" w:styleId="BalloonText">
    <w:name w:val="Balloon Text"/>
    <w:basedOn w:val="Normal"/>
    <w:link w:val="BalloonTextChar"/>
    <w:uiPriority w:val="99"/>
    <w:semiHidden/>
    <w:unhideWhenUsed/>
    <w:rsid w:val="0047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54C"/>
    <w:pPr>
      <w:ind w:left="720"/>
      <w:contextualSpacing/>
    </w:pPr>
  </w:style>
  <w:style w:type="table" w:styleId="TableGrid">
    <w:name w:val="Table Grid"/>
    <w:basedOn w:val="TableNormal"/>
    <w:uiPriority w:val="39"/>
    <w:rsid w:val="002E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8DDBF-746D-42E0-8914-6DF7E2C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Leh.e</dc:creator>
  <cp:lastModifiedBy>Daniel Gordon</cp:lastModifiedBy>
  <cp:revision>2</cp:revision>
  <cp:lastPrinted>2023-01-25T16:58:00Z</cp:lastPrinted>
  <dcterms:created xsi:type="dcterms:W3CDTF">2023-01-25T17:00:00Z</dcterms:created>
  <dcterms:modified xsi:type="dcterms:W3CDTF">2023-01-25T17:00:00Z</dcterms:modified>
</cp:coreProperties>
</file>